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R4-2014002</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gNB requirements for NR positioning</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vertAlign w:val="baseline"/>
          <w:lang w:val="en-US" w:eastAsia="zh-CN"/>
        </w:rPr>
      </w:pPr>
      <w:r>
        <w:rPr>
          <w:rFonts w:hint="eastAsia" w:eastAsia="宋体"/>
          <w:b w:val="0"/>
          <w:bCs/>
          <w:sz w:val="22"/>
          <w:szCs w:val="22"/>
          <w:lang w:val="en-US" w:eastAsia="zh-CN"/>
        </w:rPr>
        <w:t>In RAN4 94-e, 95-e and 96-e, the topic of gNB requirements for NR positioning has been discussed. Companies</w:t>
      </w:r>
      <w:r>
        <w:rPr>
          <w:rFonts w:hint="default" w:eastAsia="宋体"/>
          <w:b w:val="0"/>
          <w:bCs/>
          <w:sz w:val="22"/>
          <w:szCs w:val="22"/>
          <w:lang w:val="en-US" w:eastAsia="zh-CN"/>
        </w:rPr>
        <w:t>’</w:t>
      </w:r>
      <w:r>
        <w:rPr>
          <w:rFonts w:hint="eastAsia" w:eastAsia="宋体"/>
          <w:b w:val="0"/>
          <w:bCs/>
          <w:sz w:val="22"/>
          <w:szCs w:val="22"/>
          <w:lang w:val="en-US" w:eastAsia="zh-CN"/>
        </w:rPr>
        <w:t xml:space="preserve"> views till the end of RAN4 95-e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4820920" cy="1494790"/>
                  <wp:effectExtent l="0" t="0" r="1778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820920" cy="1494790"/>
                          </a:xfrm>
                          <a:prstGeom prst="rect">
                            <a:avLst/>
                          </a:prstGeom>
                          <a:noFill/>
                          <a:ln>
                            <a:noFill/>
                          </a:ln>
                        </pic:spPr>
                      </pic:pic>
                    </a:graphicData>
                  </a:graphic>
                </wp:inline>
              </w:drawing>
            </w:r>
          </w:p>
        </w:tc>
      </w:tr>
    </w:tbl>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Another pending issue needs to be confirmed is the side condition of gNB requirements.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rPr>
                <w:rFonts w:hint="default"/>
                <w:vertAlign w:val="baseline"/>
                <w:lang w:val="en-US" w:eastAsia="zh-CN"/>
              </w:rPr>
            </w:pPr>
            <w:r>
              <w:drawing>
                <wp:inline distT="0" distB="0" distL="114300" distR="114300">
                  <wp:extent cx="6108700" cy="2787650"/>
                  <wp:effectExtent l="0" t="0" r="635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08700" cy="2787650"/>
                          </a:xfrm>
                          <a:prstGeom prst="rect">
                            <a:avLst/>
                          </a:prstGeom>
                          <a:noFill/>
                          <a:ln>
                            <a:noFill/>
                          </a:ln>
                        </pic:spPr>
                      </pic:pic>
                    </a:graphicData>
                  </a:graphic>
                </wp:inline>
              </w:drawing>
            </w:r>
          </w:p>
        </w:tc>
      </w:tr>
    </w:tbl>
    <w:p>
      <w:pPr>
        <w:pStyle w:val="35"/>
        <w:numPr>
          <w:ilvl w:val="0"/>
          <w:numId w:val="0"/>
        </w:numPr>
        <w:ind w:leftChars="0"/>
        <w:rPr>
          <w:rFonts w:hint="default"/>
          <w:b w:val="0"/>
          <w:bCs/>
          <w:sz w:val="22"/>
          <w:szCs w:val="22"/>
          <w:lang w:val="en-US" w:eastAsia="zh-CN"/>
        </w:rPr>
      </w:pPr>
      <w:r>
        <w:rPr>
          <w:rFonts w:hint="eastAsia"/>
          <w:b w:val="0"/>
          <w:bCs/>
          <w:sz w:val="22"/>
          <w:szCs w:val="22"/>
          <w:lang w:val="en-US" w:eastAsia="zh-CN"/>
        </w:rPr>
        <w:t>There was also one pending issue on the SRS configurations for gNB measurement accuracy, see the content copied from the WF [1]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eastAsia"/>
                <w:vertAlign w:val="baseline"/>
                <w:lang w:val="en-US" w:eastAsia="zh-CN"/>
              </w:rPr>
            </w:pPr>
            <w:r>
              <w:drawing>
                <wp:inline distT="0" distB="0" distL="114300" distR="114300">
                  <wp:extent cx="6109335" cy="1842770"/>
                  <wp:effectExtent l="0" t="0" r="571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109335" cy="184277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default" w:eastAsia="宋体"/>
          <w:sz w:val="22"/>
          <w:szCs w:val="22"/>
          <w:lang w:val="en-US" w:eastAsia="zh-CN"/>
        </w:rPr>
      </w:pPr>
      <w:r>
        <w:rPr>
          <w:rFonts w:hint="eastAsia" w:eastAsia="宋体"/>
          <w:sz w:val="22"/>
          <w:szCs w:val="22"/>
          <w:lang w:val="en-US" w:eastAsia="zh-CN"/>
        </w:rPr>
        <w:t>As to the optionality of gNB accuracy requirements for NR positioning, the requirements should be mandatory once the gNB supports a certain type of positioning method. Since positioning methods are optional, it doesn</w:t>
      </w:r>
      <w:r>
        <w:rPr>
          <w:rFonts w:hint="default" w:eastAsia="宋体"/>
          <w:sz w:val="22"/>
          <w:szCs w:val="22"/>
          <w:lang w:val="en-US" w:eastAsia="zh-CN"/>
        </w:rPr>
        <w:t>’</w:t>
      </w:r>
      <w:r>
        <w:rPr>
          <w:rFonts w:hint="eastAsia" w:eastAsia="宋体"/>
          <w:sz w:val="22"/>
          <w:szCs w:val="22"/>
          <w:lang w:val="en-US" w:eastAsia="zh-CN"/>
        </w:rPr>
        <w:t>t make sense to set mandatory accuracy requirements if gNB doesn</w:t>
      </w:r>
      <w:r>
        <w:rPr>
          <w:rFonts w:hint="default" w:eastAsia="宋体"/>
          <w:sz w:val="22"/>
          <w:szCs w:val="22"/>
          <w:lang w:val="en-US" w:eastAsia="zh-CN"/>
        </w:rPr>
        <w:t>’</w:t>
      </w:r>
      <w:r>
        <w:rPr>
          <w:rFonts w:hint="eastAsia" w:eastAsia="宋体"/>
          <w:sz w:val="22"/>
          <w:szCs w:val="22"/>
          <w:lang w:val="en-US" w:eastAsia="zh-CN"/>
        </w:rPr>
        <w:t>t even choose to support one positioning method. However, once a gNB supports one particular method, it has to meet the accuracy requirements to guarantee the positioning accuracy. Or else the RAT-dependent positioning would be completely unreliable.</w:t>
      </w:r>
    </w:p>
    <w:p>
      <w:pPr>
        <w:pStyle w:val="35"/>
        <w:rPr>
          <w:rFonts w:hint="default"/>
          <w:sz w:val="22"/>
          <w:szCs w:val="22"/>
          <w:lang w:val="en-US" w:eastAsia="zh-CN"/>
        </w:rPr>
      </w:pPr>
      <w:r>
        <w:rPr>
          <w:rFonts w:hint="eastAsia" w:eastAsia="宋体"/>
          <w:sz w:val="22"/>
          <w:szCs w:val="22"/>
          <w:lang w:val="en-US" w:eastAsia="zh-CN"/>
        </w:rPr>
        <w:t>Once a gNB supports one particular method, it has to meet the accuracy requirements to guarantee the positioning accuracy</w:t>
      </w:r>
      <w:r>
        <w:rPr>
          <w:rFonts w:hint="eastAsia"/>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Another pending issue of particular interest is the side condition of gNB accuracy requirements. Considering diversified channel condition for UEs in the serving cell and neighbour cells, it</w:t>
      </w:r>
      <w:r>
        <w:rPr>
          <w:rFonts w:hint="default" w:eastAsia="宋体"/>
          <w:sz w:val="22"/>
          <w:szCs w:val="22"/>
          <w:lang w:val="en-US" w:eastAsia="zh-CN"/>
        </w:rPr>
        <w:t>’</w:t>
      </w:r>
      <w:r>
        <w:rPr>
          <w:rFonts w:hint="eastAsia" w:eastAsia="宋体"/>
          <w:sz w:val="22"/>
          <w:szCs w:val="22"/>
          <w:lang w:val="en-US" w:eastAsia="zh-CN"/>
        </w:rPr>
        <w:t>s reasonable to define different sets of side conditions for UEs in serving cells and neighbour cells. The detailed side conditions can be FFS. As o how the side conditions are defined, we prefer to define side conditions based on clause 7.2 in TS 36.111 to ensure a faster completion of the work item.</w:t>
      </w:r>
    </w:p>
    <w:p>
      <w:pPr>
        <w:pStyle w:val="35"/>
        <w:rPr>
          <w:rFonts w:hint="eastAsia"/>
          <w:b/>
          <w:bCs w:val="0"/>
          <w:sz w:val="22"/>
          <w:szCs w:val="22"/>
          <w:lang w:val="en-US" w:eastAsia="zh-CN"/>
        </w:rPr>
      </w:pPr>
      <w:r>
        <w:rPr>
          <w:rFonts w:hint="eastAsia"/>
          <w:b/>
          <w:bCs w:val="0"/>
          <w:sz w:val="22"/>
          <w:szCs w:val="22"/>
          <w:lang w:val="en-US" w:eastAsia="zh-CN"/>
        </w:rPr>
        <w:t>Separate side conditions to meet accuracy for UE in serving and for UE in neighbour cells. Define side conditions based on clause 7.2 in TS 36.111.</w:t>
      </w:r>
    </w:p>
    <w:p>
      <w:pPr>
        <w:rPr>
          <w:rFonts w:hint="default"/>
          <w:b w:val="0"/>
          <w:bCs/>
          <w:sz w:val="22"/>
          <w:szCs w:val="22"/>
          <w:lang w:val="en-US" w:eastAsia="zh-CN"/>
        </w:rPr>
      </w:pPr>
      <w:r>
        <w:rPr>
          <w:rFonts w:hint="eastAsia"/>
          <w:b w:val="0"/>
          <w:bCs/>
          <w:sz w:val="22"/>
          <w:szCs w:val="22"/>
          <w:lang w:val="en-US" w:eastAsia="zh-CN"/>
        </w:rPr>
        <w:t>The last open issue from the last meeting is that whether accuracy is defined and met for all or subset of SRS configurations. In our view the two options share the similarities that the accuracy is only met for a subset of SRS configurations. This gives the two options some equivalence technically. To add some flexibility, we prefer that the accuracy is defined for all SRS configurations but is met only for subset of SRS configurations declared by the manufacturer.</w:t>
      </w:r>
    </w:p>
    <w:p>
      <w:pPr>
        <w:pStyle w:val="35"/>
        <w:rPr>
          <w:rFonts w:hint="default"/>
          <w:b/>
          <w:bCs w:val="0"/>
          <w:sz w:val="22"/>
          <w:szCs w:val="22"/>
          <w:lang w:val="en-US" w:eastAsia="zh-CN"/>
        </w:rPr>
      </w:pPr>
      <w:r>
        <w:rPr>
          <w:rFonts w:hint="eastAsia"/>
          <w:b/>
          <w:bCs w:val="0"/>
          <w:sz w:val="22"/>
          <w:szCs w:val="22"/>
          <w:lang w:val="en-US" w:eastAsia="zh-CN"/>
        </w:rPr>
        <w:t>The accuracy is defined for all SRS configurations but is met only for subset of SRS configurations declared by the manufacturer.</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Once a gNB supports one particular method, it has to meet the accuracy requirements to guarantee the positioning accuracy</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Separate side conditions to meet accuracy for UE in serving and for UE in neighbour cells. Define side conditions based on clause 7.2 in TS 36.111.</w:t>
      </w:r>
    </w:p>
    <w:p>
      <w:pPr>
        <w:rPr>
          <w:rFonts w:hint="default"/>
          <w:b/>
          <w:bCs w:val="0"/>
          <w:sz w:val="22"/>
          <w:szCs w:val="22"/>
          <w:lang w:val="en-US" w:eastAsia="zh-CN"/>
        </w:rPr>
      </w:pPr>
      <w:r>
        <w:rPr>
          <w:rFonts w:hint="eastAsia"/>
          <w:b/>
          <w:bCs w:val="0"/>
          <w:sz w:val="22"/>
          <w:szCs w:val="22"/>
          <w:lang w:val="en-US" w:eastAsia="zh-CN"/>
        </w:rPr>
        <w:t>Proposal 3: The accuracy is defined for all SRS configurations but is met only for subset of SRS configurations declared by the manufacturer.</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R4-2012140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787053"/>
    <w:rsid w:val="028676F2"/>
    <w:rsid w:val="02B274E2"/>
    <w:rsid w:val="02BD7990"/>
    <w:rsid w:val="02C25D33"/>
    <w:rsid w:val="030809EC"/>
    <w:rsid w:val="039A1BDA"/>
    <w:rsid w:val="03AE4991"/>
    <w:rsid w:val="03C6506D"/>
    <w:rsid w:val="03F37217"/>
    <w:rsid w:val="04C77D0A"/>
    <w:rsid w:val="04D5204C"/>
    <w:rsid w:val="051F0641"/>
    <w:rsid w:val="057235CA"/>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373ABA"/>
    <w:rsid w:val="099F556C"/>
    <w:rsid w:val="09AC0546"/>
    <w:rsid w:val="09C640C3"/>
    <w:rsid w:val="0A5763D4"/>
    <w:rsid w:val="0A7BF868"/>
    <w:rsid w:val="0B7322DC"/>
    <w:rsid w:val="0BB77882"/>
    <w:rsid w:val="0C3C5307"/>
    <w:rsid w:val="0C56263C"/>
    <w:rsid w:val="0C5E2B8A"/>
    <w:rsid w:val="0D102274"/>
    <w:rsid w:val="0DA958CA"/>
    <w:rsid w:val="0DF104D3"/>
    <w:rsid w:val="0E1C586B"/>
    <w:rsid w:val="0E2D6BCD"/>
    <w:rsid w:val="0E8A024B"/>
    <w:rsid w:val="0ED138E6"/>
    <w:rsid w:val="0F67780F"/>
    <w:rsid w:val="0F8F3C2A"/>
    <w:rsid w:val="0FB648CB"/>
    <w:rsid w:val="0FD0731A"/>
    <w:rsid w:val="0FF1533A"/>
    <w:rsid w:val="0FFE0AFA"/>
    <w:rsid w:val="10175FE0"/>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4E33F7"/>
    <w:rsid w:val="287A3770"/>
    <w:rsid w:val="28C759BF"/>
    <w:rsid w:val="290A138C"/>
    <w:rsid w:val="293606FA"/>
    <w:rsid w:val="29517179"/>
    <w:rsid w:val="29812B1E"/>
    <w:rsid w:val="29E7086A"/>
    <w:rsid w:val="2A1219AD"/>
    <w:rsid w:val="2A394321"/>
    <w:rsid w:val="2A455895"/>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051C04"/>
    <w:rsid w:val="3B30671A"/>
    <w:rsid w:val="3B5662AC"/>
    <w:rsid w:val="3CBD2977"/>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5A4BA7"/>
    <w:rsid w:val="487C3875"/>
    <w:rsid w:val="48977283"/>
    <w:rsid w:val="48B615C8"/>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672513"/>
    <w:rsid w:val="4D9E609E"/>
    <w:rsid w:val="4E0243C8"/>
    <w:rsid w:val="4E345636"/>
    <w:rsid w:val="4E652C5C"/>
    <w:rsid w:val="4E9105E7"/>
    <w:rsid w:val="4EB053BD"/>
    <w:rsid w:val="4FBC6FAF"/>
    <w:rsid w:val="4FDC68F3"/>
    <w:rsid w:val="4FFF46BE"/>
    <w:rsid w:val="50005DA1"/>
    <w:rsid w:val="50094EE1"/>
    <w:rsid w:val="5041435B"/>
    <w:rsid w:val="50564CCA"/>
    <w:rsid w:val="505A1CB0"/>
    <w:rsid w:val="5090049B"/>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4F9347D"/>
    <w:rsid w:val="5553143F"/>
    <w:rsid w:val="55B42DC5"/>
    <w:rsid w:val="55C82763"/>
    <w:rsid w:val="561E43E8"/>
    <w:rsid w:val="56243301"/>
    <w:rsid w:val="567B20DA"/>
    <w:rsid w:val="56943FE8"/>
    <w:rsid w:val="56DA5A5F"/>
    <w:rsid w:val="577E3F1D"/>
    <w:rsid w:val="57F20001"/>
    <w:rsid w:val="586B2608"/>
    <w:rsid w:val="5879595C"/>
    <w:rsid w:val="588331BE"/>
    <w:rsid w:val="592D7AE2"/>
    <w:rsid w:val="593554F0"/>
    <w:rsid w:val="59F967B7"/>
    <w:rsid w:val="5A3078C5"/>
    <w:rsid w:val="5A507519"/>
    <w:rsid w:val="5ADF3A74"/>
    <w:rsid w:val="5AE53367"/>
    <w:rsid w:val="5B0B0083"/>
    <w:rsid w:val="5BC3228B"/>
    <w:rsid w:val="5BFC28DA"/>
    <w:rsid w:val="5C3B1FEA"/>
    <w:rsid w:val="5C6A01BF"/>
    <w:rsid w:val="5CEB6783"/>
    <w:rsid w:val="5D041ECD"/>
    <w:rsid w:val="5D5E1AC8"/>
    <w:rsid w:val="5E051414"/>
    <w:rsid w:val="5E206741"/>
    <w:rsid w:val="5E2D4C21"/>
    <w:rsid w:val="5E820037"/>
    <w:rsid w:val="5ED02D8F"/>
    <w:rsid w:val="5EE41E2E"/>
    <w:rsid w:val="5F0F00DA"/>
    <w:rsid w:val="60017F85"/>
    <w:rsid w:val="6045086B"/>
    <w:rsid w:val="604E7BD7"/>
    <w:rsid w:val="60745B63"/>
    <w:rsid w:val="60F64A32"/>
    <w:rsid w:val="61051332"/>
    <w:rsid w:val="61913083"/>
    <w:rsid w:val="62812953"/>
    <w:rsid w:val="62B7743E"/>
    <w:rsid w:val="62B8352F"/>
    <w:rsid w:val="62EF63FA"/>
    <w:rsid w:val="632B39DC"/>
    <w:rsid w:val="64116858"/>
    <w:rsid w:val="648D5222"/>
    <w:rsid w:val="64B2258D"/>
    <w:rsid w:val="64E30C9E"/>
    <w:rsid w:val="64E86D2F"/>
    <w:rsid w:val="651A536A"/>
    <w:rsid w:val="657C25FC"/>
    <w:rsid w:val="65997784"/>
    <w:rsid w:val="65A976E6"/>
    <w:rsid w:val="65C64C37"/>
    <w:rsid w:val="65D01190"/>
    <w:rsid w:val="66197BB5"/>
    <w:rsid w:val="66AB371C"/>
    <w:rsid w:val="66AE1192"/>
    <w:rsid w:val="66CA69C3"/>
    <w:rsid w:val="66CB6065"/>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A65EB4"/>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42459"/>
    <w:rsid w:val="793758F2"/>
    <w:rsid w:val="7A080BBF"/>
    <w:rsid w:val="7A4F2396"/>
    <w:rsid w:val="7A787ECB"/>
    <w:rsid w:val="7A875FC6"/>
    <w:rsid w:val="7A8B51CB"/>
    <w:rsid w:val="7A9158B4"/>
    <w:rsid w:val="7A984514"/>
    <w:rsid w:val="7AB507FA"/>
    <w:rsid w:val="7AC634CB"/>
    <w:rsid w:val="7ACB482C"/>
    <w:rsid w:val="7AF137EF"/>
    <w:rsid w:val="7B2531D6"/>
    <w:rsid w:val="7B5B11D8"/>
    <w:rsid w:val="7C41564D"/>
    <w:rsid w:val="7C7961D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2020-10-20T02:05:59Z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